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D207" w14:textId="219899EE" w:rsidR="004B2544" w:rsidRDefault="004B2544" w:rsidP="004B2544">
      <w:pPr>
        <w:jc w:val="both"/>
      </w:pPr>
      <w:r>
        <w:t>Vastamaks teie poolt täiendavalt esitatud küsimusele ja selgitamaks, miks teenusedisain ja arendustööd ei ole sama eesmärgi nimel tehtavad tööd peame vajalikuks selgitada teenusedisaini</w:t>
      </w:r>
      <w:r w:rsidR="000F57F6">
        <w:t xml:space="preserve"> </w:t>
      </w:r>
      <w:r>
        <w:t>olemust.</w:t>
      </w:r>
      <w:r w:rsidR="00575356">
        <w:t xml:space="preserve"> Käesolevaga esitame selgitused</w:t>
      </w:r>
      <w:r w:rsidRPr="004B2544">
        <w:t>, miks teenusedisaini ja arendus</w:t>
      </w:r>
      <w:r w:rsidR="00575356">
        <w:t>tööde</w:t>
      </w:r>
      <w:r w:rsidRPr="004B2544">
        <w:t xml:space="preserve"> hanke</w:t>
      </w:r>
      <w:r w:rsidR="00575356">
        <w:t xml:space="preserve"> eesmärgid </w:t>
      </w:r>
      <w:r w:rsidRPr="004B2544">
        <w:t xml:space="preserve"> on </w:t>
      </w:r>
      <w:r w:rsidR="00575356">
        <w:t>oma olemuselt</w:t>
      </w:r>
      <w:r w:rsidRPr="004B2544">
        <w:t xml:space="preserve"> </w:t>
      </w:r>
      <w:r w:rsidR="00575356">
        <w:t>erinevad</w:t>
      </w:r>
      <w:r w:rsidRPr="004B2544">
        <w:t xml:space="preserve">. </w:t>
      </w:r>
      <w:r w:rsidR="00575356">
        <w:t>Ühtlasi märgime, et</w:t>
      </w:r>
      <w:r>
        <w:t xml:space="preserve"> vastus ei hõlma </w:t>
      </w:r>
      <w:r w:rsidR="00575356">
        <w:t>selgitusi riigihanke „</w:t>
      </w:r>
      <w:r w:rsidR="00575356" w:rsidRPr="00575356">
        <w:t>Rahvastikuregistri uue menetlustarkvara testimistööd</w:t>
      </w:r>
      <w:r w:rsidR="00575356">
        <w:t xml:space="preserve">“ (viitenumber </w:t>
      </w:r>
      <w:r w:rsidR="00575356" w:rsidRPr="00575356">
        <w:t>292608</w:t>
      </w:r>
      <w:r w:rsidR="00575356">
        <w:t>) osas</w:t>
      </w:r>
      <w:r>
        <w:t xml:space="preserve">, </w:t>
      </w:r>
      <w:r w:rsidR="00575356">
        <w:t xml:space="preserve">sest </w:t>
      </w:r>
      <w:r>
        <w:t xml:space="preserve">kõnesolev hankemenetlus tunnistati kehtetuks. </w:t>
      </w:r>
    </w:p>
    <w:p w14:paraId="69F31EF0" w14:textId="418D0D4A" w:rsidR="004B2544" w:rsidRDefault="004B2544" w:rsidP="004B2544">
      <w:pPr>
        <w:jc w:val="both"/>
      </w:pPr>
      <w:r>
        <w:t xml:space="preserve">Teenusedisaini ei ole seotud pelgalt tarkvaraarendusega, teenusedisaini teostatakse erinevates valdkondades ja oma olemuselt on see </w:t>
      </w:r>
      <w:r w:rsidRPr="004B2544">
        <w:t>protsess, mille käigus planeeritakse ja kujundatakse teenuseid nii, et need vastaksid kasutajate vajadustele ja ootustele ning oleksid samal ajal efektiivsed ja lihtsasti kasutatavad. Teenusedisain hõlmab nii teenuse kasutajakogemuse loomist kui ka teenuse taga olevate protsesside, süsteemide ja ressursside korraldamist.</w:t>
      </w:r>
    </w:p>
    <w:p w14:paraId="40A26689" w14:textId="719103B3" w:rsidR="00ED695D" w:rsidRDefault="004B2544" w:rsidP="00ED695D">
      <w:pPr>
        <w:jc w:val="both"/>
      </w:pPr>
      <w:r>
        <w:t xml:space="preserve">Rääkides avaliku sektori vaates teenustest, siis räägime </w:t>
      </w:r>
      <w:r w:rsidR="00575356">
        <w:t xml:space="preserve">eelkõige </w:t>
      </w:r>
      <w:r>
        <w:t>kuidas inimene</w:t>
      </w:r>
      <w:r w:rsidR="00575356">
        <w:t xml:space="preserve"> (kasutaja)</w:t>
      </w:r>
      <w:r>
        <w:t xml:space="preserve"> suhtleb riigiga. </w:t>
      </w:r>
      <w:r w:rsidR="00575356">
        <w:t xml:space="preserve">Teenuse puhul aga sellest, kuidas toimub </w:t>
      </w:r>
      <w:r>
        <w:t xml:space="preserve">elukoha registreerimine. </w:t>
      </w:r>
      <w:r w:rsidR="00575356">
        <w:t xml:space="preserve">Teenusedisaini puhul võetakse kogu „teenus“ pulkadeks lahti ja vaadeldakse seda „kasutaja“ perspektiivist. </w:t>
      </w:r>
      <w:r w:rsidR="00ED695D" w:rsidRPr="004B2544">
        <w:t>Lihtsamalt öeldes</w:t>
      </w:r>
      <w:r w:rsidR="00ED695D">
        <w:t xml:space="preserve"> on</w:t>
      </w:r>
      <w:r w:rsidR="00ED695D" w:rsidRPr="004B2544">
        <w:t xml:space="preserve"> teenusedisain</w:t>
      </w:r>
      <w:r w:rsidR="00ED695D">
        <w:t>i eesmärk</w:t>
      </w:r>
      <w:r w:rsidR="00ED695D" w:rsidRPr="004B2544">
        <w:t xml:space="preserve">, </w:t>
      </w:r>
      <w:r w:rsidR="00ED695D">
        <w:t>hästi toimiv teenus</w:t>
      </w:r>
      <w:r w:rsidR="00ED695D" w:rsidRPr="004B2544">
        <w:t xml:space="preserve"> nii kliendi </w:t>
      </w:r>
      <w:r w:rsidR="00ED695D">
        <w:t xml:space="preserve">(inimese) </w:t>
      </w:r>
      <w:r w:rsidR="00ED695D" w:rsidRPr="004B2544">
        <w:t xml:space="preserve">kui ka teenusepakkuja </w:t>
      </w:r>
      <w:r w:rsidR="00ED695D">
        <w:t xml:space="preserve">(riigi) </w:t>
      </w:r>
      <w:r w:rsidR="00ED695D" w:rsidRPr="004B2544">
        <w:t xml:space="preserve">jaoks — teenus oleks meeldiv, mugav ja </w:t>
      </w:r>
      <w:r w:rsidR="00ED695D">
        <w:t xml:space="preserve">toimiks </w:t>
      </w:r>
      <w:r w:rsidR="00ED695D" w:rsidRPr="004B2544">
        <w:t>probleemivaba</w:t>
      </w:r>
      <w:r w:rsidR="00ED695D">
        <w:t>lt</w:t>
      </w:r>
      <w:r w:rsidR="00ED695D" w:rsidRPr="004B2544">
        <w:t>.</w:t>
      </w:r>
      <w:r w:rsidR="000F57F6">
        <w:t xml:space="preserve"> </w:t>
      </w:r>
    </w:p>
    <w:p w14:paraId="2B8FDC3F" w14:textId="09D8C144" w:rsidR="00ED695D" w:rsidRDefault="00ED695D" w:rsidP="00ED695D">
      <w:pPr>
        <w:jc w:val="both"/>
      </w:pPr>
      <w:r w:rsidRPr="005368B7">
        <w:t xml:space="preserve">Teenusedisain on oma sisult tööriistade kogum, mis võimaldab parendada nii tänaseid kui </w:t>
      </w:r>
      <w:r>
        <w:t xml:space="preserve">ka </w:t>
      </w:r>
      <w:r w:rsidRPr="005368B7">
        <w:t>luua uusi teenuseid kasutajakeskselt. Tegemist on loova probleemilahendamise metoodikaga, mille edukas rakendamine toetab järjepidevalt arendada väärtustloovaid, äriliselt jätkusuutlikke ning kasutajakeskseid teenuseid</w:t>
      </w:r>
      <w:r>
        <w:t>.</w:t>
      </w:r>
    </w:p>
    <w:p w14:paraId="1DEE817E" w14:textId="65679B5F" w:rsidR="00ED695D" w:rsidRPr="004B2544" w:rsidRDefault="00ED695D" w:rsidP="00ED695D">
      <w:pPr>
        <w:jc w:val="both"/>
      </w:pPr>
      <w:r>
        <w:t xml:space="preserve">Arendustööde eesmärk on konkreetse tarkvara arendamine, konkreetse funktsionaalsuse loomine, puuduste parandamine tarkvaras. Teenuse puhul võib küll olla kasutusel ka tarkvara nagu see Eestis tavapärane on, aga see on pelgalt üks osas teenusest tervikuna. Samamoodi on teenuse osadeks ametnikud, kes viivad läbi menetlusi ja menetluste tähtajad jmt. </w:t>
      </w:r>
    </w:p>
    <w:p w14:paraId="7B178D3F" w14:textId="5192B0E8" w:rsidR="005B17D2" w:rsidRPr="004B2544" w:rsidRDefault="00ED695D" w:rsidP="005B17D2">
      <w:pPr>
        <w:jc w:val="both"/>
      </w:pPr>
      <w:r>
        <w:t>T</w:t>
      </w:r>
      <w:r w:rsidR="004B2544">
        <w:t xml:space="preserve">eenusedisaini tulemusena </w:t>
      </w:r>
      <w:r>
        <w:t xml:space="preserve">võib ka </w:t>
      </w:r>
      <w:r w:rsidR="004B2544">
        <w:t xml:space="preserve">selguda, et olemasolev protsess on piisav ja muudatusi </w:t>
      </w:r>
      <w:r>
        <w:t xml:space="preserve">teenus </w:t>
      </w:r>
      <w:r w:rsidR="004B2544">
        <w:t>ei vaja, samuti, et mõistlik on kitsaskohti lahendada luues juurde uus töökoht</w:t>
      </w:r>
      <w:r>
        <w:t xml:space="preserve"> või muuta seadusandlust</w:t>
      </w:r>
      <w:r w:rsidR="004B2544">
        <w:t>.</w:t>
      </w:r>
    </w:p>
    <w:p w14:paraId="000770A6" w14:textId="2E16E25E" w:rsidR="004B2544" w:rsidRPr="004B2544" w:rsidRDefault="004B2544" w:rsidP="005B17D2">
      <w:pPr>
        <w:numPr>
          <w:ilvl w:val="0"/>
          <w:numId w:val="1"/>
        </w:numPr>
        <w:jc w:val="both"/>
      </w:pPr>
      <w:r w:rsidRPr="004B2544">
        <w:rPr>
          <w:b/>
          <w:bCs/>
        </w:rPr>
        <w:t>Teenusedisain kujutab endast visiooni ja kasutajate ootuste kaardistamist, mis võib, kuid ei pruugi otse</w:t>
      </w:r>
      <w:r w:rsidR="005B17D2">
        <w:rPr>
          <w:b/>
          <w:bCs/>
        </w:rPr>
        <w:t>selt tarkvara</w:t>
      </w:r>
      <w:r w:rsidRPr="004B2544">
        <w:rPr>
          <w:b/>
          <w:bCs/>
        </w:rPr>
        <w:t xml:space="preserve"> arendus</w:t>
      </w:r>
      <w:r w:rsidR="005B17D2">
        <w:rPr>
          <w:b/>
          <w:bCs/>
        </w:rPr>
        <w:t>i</w:t>
      </w:r>
      <w:r w:rsidRPr="004B2544">
        <w:rPr>
          <w:b/>
          <w:bCs/>
        </w:rPr>
        <w:t xml:space="preserve"> mõjutada.</w:t>
      </w:r>
      <w:r w:rsidRPr="004B2544">
        <w:t xml:space="preserve"> Teenusedisain keskendub lõppkasutajate intervjuudele, eesmärgiga koguda väärtuslikku infot kasutajate ootuste ja protsesside muudatusettepanekute kohta. Selle lõpus võidakse protsesse ümber mõtestada ja kujundada. </w:t>
      </w:r>
      <w:r w:rsidR="005B17D2">
        <w:t>Peame siinjuures vajalikuks selgitada, et teenusedisain ei hõlma enda t</w:t>
      </w:r>
      <w:r w:rsidRPr="004B2544">
        <w:t>arkvara detailanalüüs</w:t>
      </w:r>
      <w:r w:rsidR="005B17D2">
        <w:t xml:space="preserve">i ja </w:t>
      </w:r>
      <w:r w:rsidRPr="004B2544">
        <w:t>UI/UX disain</w:t>
      </w:r>
      <w:r w:rsidR="005B17D2">
        <w:t>i</w:t>
      </w:r>
      <w:r w:rsidRPr="004B2544">
        <w:t xml:space="preserve"> </w:t>
      </w:r>
      <w:r w:rsidR="000F57F6">
        <w:t>ning</w:t>
      </w:r>
      <w:r w:rsidRPr="004B2544">
        <w:t xml:space="preserve"> </w:t>
      </w:r>
      <w:r w:rsidR="005B17D2">
        <w:t xml:space="preserve">tarkvara </w:t>
      </w:r>
      <w:r w:rsidRPr="004B2544">
        <w:t>arendus järgneb alles siis, kui on tehtud otsus</w:t>
      </w:r>
      <w:r w:rsidR="005B17D2">
        <w:t>, et esineb vajadus tarkvara arendada</w:t>
      </w:r>
      <w:r w:rsidRPr="004B2544">
        <w:t xml:space="preserve">. </w:t>
      </w:r>
      <w:r w:rsidRPr="004B2544">
        <w:lastRenderedPageBreak/>
        <w:t xml:space="preserve">On täiesti realistlik, et teenusedisaini </w:t>
      </w:r>
      <w:r w:rsidR="005B17D2">
        <w:t>tulemusena pakutud lahendustest üksnes kolmandik või veel vähem eeldab tarkvara arendustöid</w:t>
      </w:r>
      <w:r w:rsidRPr="004B2544">
        <w:t>.</w:t>
      </w:r>
    </w:p>
    <w:p w14:paraId="38793565" w14:textId="00721D4F" w:rsidR="004B2544" w:rsidRPr="004B2544" w:rsidRDefault="004B2544" w:rsidP="005B17D2">
      <w:pPr>
        <w:numPr>
          <w:ilvl w:val="0"/>
          <w:numId w:val="1"/>
        </w:numPr>
        <w:jc w:val="both"/>
      </w:pPr>
      <w:r w:rsidRPr="004B2544">
        <w:rPr>
          <w:b/>
          <w:bCs/>
        </w:rPr>
        <w:t>Tarkvara arendamine on võimalik ka ilma eelneva teenusedisainita.</w:t>
      </w:r>
      <w:r w:rsidRPr="004B2544">
        <w:t xml:space="preserve"> </w:t>
      </w:r>
      <w:r w:rsidR="005B17D2">
        <w:t xml:space="preserve">Tarkvara arendamine ei eelda teenusedisaini ning tarkvara arendustöid on võimalik teostada ka ilma teenusedisainita. </w:t>
      </w:r>
      <w:r w:rsidR="001358B0">
        <w:t>T</w:t>
      </w:r>
      <w:r w:rsidRPr="004B2544">
        <w:t xml:space="preserve">arkvaraarendusprojekti </w:t>
      </w:r>
      <w:r w:rsidR="001358B0">
        <w:t xml:space="preserve">elluviimiseks on vajalik teostada </w:t>
      </w:r>
      <w:r w:rsidRPr="004B2544">
        <w:t>detailanalüüs</w:t>
      </w:r>
      <w:r w:rsidR="001358B0">
        <w:t xml:space="preserve"> ning </w:t>
      </w:r>
      <w:r w:rsidRPr="004B2544">
        <w:t>jätkata UI/UX disaini ja</w:t>
      </w:r>
      <w:r w:rsidR="001358B0">
        <w:t xml:space="preserve"> seejärel</w:t>
      </w:r>
      <w:r w:rsidRPr="004B2544">
        <w:t xml:space="preserve"> </w:t>
      </w:r>
      <w:r w:rsidR="001358B0">
        <w:t xml:space="preserve">teostada tarkvara </w:t>
      </w:r>
      <w:r w:rsidRPr="004B2544">
        <w:t>arendus</w:t>
      </w:r>
      <w:r w:rsidR="001358B0">
        <w:t>tööd</w:t>
      </w:r>
      <w:r w:rsidRPr="004B2544">
        <w:t>.</w:t>
      </w:r>
      <w:r w:rsidR="005B17D2">
        <w:t xml:space="preserve"> Just detailanalüüs ja UI/UX disain on otseselt seotud tarkvara arendustöödega ning selliste hangete eraldi korraldamisel tuleks ne</w:t>
      </w:r>
      <w:r w:rsidR="001358B0">
        <w:t>nde maksumused</w:t>
      </w:r>
      <w:r w:rsidR="005B17D2">
        <w:t xml:space="preserve"> </w:t>
      </w:r>
      <w:r w:rsidR="001358B0">
        <w:t xml:space="preserve">arusaadavalt </w:t>
      </w:r>
      <w:r w:rsidR="005B17D2">
        <w:t>summeerida, sest need on sama eesmärgil teostatavad tööd.</w:t>
      </w:r>
    </w:p>
    <w:p w14:paraId="1D023A2A" w14:textId="09D03654" w:rsidR="004B2544" w:rsidRDefault="004B2544" w:rsidP="005B17D2">
      <w:pPr>
        <w:numPr>
          <w:ilvl w:val="0"/>
          <w:numId w:val="1"/>
        </w:numPr>
        <w:jc w:val="both"/>
      </w:pPr>
      <w:r w:rsidRPr="004B2544">
        <w:rPr>
          <w:b/>
          <w:bCs/>
        </w:rPr>
        <w:t>Teenusedisain ei ole tarkvaraarenduse keskne osa, vaid vaatleb laiemat pilti.</w:t>
      </w:r>
      <w:r w:rsidRPr="004B2544">
        <w:t xml:space="preserve"> See hõlmab organisatsiooni sisemisi protsesse, lõppkasutajate kaasamist ning keskendub kogu teenuse väärtusahelale.</w:t>
      </w:r>
      <w:r w:rsidR="001358B0">
        <w:t xml:space="preserve"> Tarkvara on üksnes osa tervikteenusest.</w:t>
      </w:r>
    </w:p>
    <w:p w14:paraId="6C1D7B19" w14:textId="7721E0CB" w:rsidR="001358B0" w:rsidRPr="004B2544" w:rsidRDefault="001358B0" w:rsidP="001358B0">
      <w:pPr>
        <w:jc w:val="both"/>
      </w:pPr>
      <w:r w:rsidRPr="001358B0">
        <w:t>Selleks, et paremini selgitada, miks teenusedisain ei ole sama eesmärgi nimel teostatav teenus kui tarkvara arendustööd oleme allolevas tabelis loetlenud teenusedisaini ja UX/UI disaini erinevused</w:t>
      </w:r>
      <w:r>
        <w:rPr>
          <w:b/>
          <w:bCs/>
        </w:rPr>
        <w:t xml:space="preserve">. </w:t>
      </w:r>
    </w:p>
    <w:p w14:paraId="7426D009" w14:textId="77777777" w:rsidR="004B2544" w:rsidRPr="004B2544" w:rsidRDefault="004B2544" w:rsidP="001358B0">
      <w:pPr>
        <w:jc w:val="both"/>
      </w:pPr>
      <w:r w:rsidRPr="004B2544">
        <w:rPr>
          <w:b/>
          <w:bCs/>
        </w:rPr>
        <w:t>UX/UI disaini erinevus teenusedisainist</w:t>
      </w:r>
      <w:r w:rsidRPr="004B2544">
        <w:t>:</w:t>
      </w:r>
    </w:p>
    <w:p w14:paraId="1007DE63" w14:textId="77777777" w:rsidR="004B2544" w:rsidRPr="004B2544" w:rsidRDefault="004B2544" w:rsidP="004B2544"/>
    <w:tbl>
      <w:tblPr>
        <w:tblW w:w="0" w:type="auto"/>
        <w:tblCellMar>
          <w:left w:w="0" w:type="dxa"/>
          <w:right w:w="0" w:type="dxa"/>
        </w:tblCellMar>
        <w:tblLook w:val="04A0" w:firstRow="1" w:lastRow="0" w:firstColumn="1" w:lastColumn="0" w:noHBand="0" w:noVBand="1"/>
      </w:tblPr>
      <w:tblGrid>
        <w:gridCol w:w="1989"/>
        <w:gridCol w:w="3579"/>
        <w:gridCol w:w="3484"/>
      </w:tblGrid>
      <w:tr w:rsidR="004B2544" w:rsidRPr="004B2544" w14:paraId="57A96713" w14:textId="77777777" w:rsidTr="004B2544">
        <w:tc>
          <w:tcPr>
            <w:tcW w:w="25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B2BD9" w14:textId="77777777" w:rsidR="004B2544" w:rsidRPr="004B2544" w:rsidRDefault="004B2544" w:rsidP="004B2544">
            <w:pPr>
              <w:rPr>
                <w:b/>
                <w:bCs/>
              </w:rPr>
            </w:pPr>
            <w:r w:rsidRPr="004B2544">
              <w:rPr>
                <w:b/>
                <w:bCs/>
              </w:rPr>
              <w:t>Aspekt</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DD9EF" w14:textId="77777777" w:rsidR="004B2544" w:rsidRPr="004B2544" w:rsidRDefault="004B2544" w:rsidP="004B2544">
            <w:pPr>
              <w:rPr>
                <w:b/>
                <w:bCs/>
              </w:rPr>
            </w:pPr>
            <w:r w:rsidRPr="004B2544">
              <w:rPr>
                <w:b/>
                <w:bCs/>
              </w:rPr>
              <w:t>Teenusedisain</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E5ED7" w14:textId="77777777" w:rsidR="004B2544" w:rsidRPr="004B2544" w:rsidRDefault="004B2544" w:rsidP="004B2544">
            <w:pPr>
              <w:rPr>
                <w:b/>
                <w:bCs/>
              </w:rPr>
            </w:pPr>
            <w:r w:rsidRPr="004B2544">
              <w:rPr>
                <w:b/>
                <w:bCs/>
              </w:rPr>
              <w:t>UX/UI disain</w:t>
            </w:r>
          </w:p>
        </w:tc>
      </w:tr>
      <w:tr w:rsidR="004B2544" w:rsidRPr="004B2544" w14:paraId="376E845F" w14:textId="77777777" w:rsidTr="004B254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41F3E" w14:textId="77777777" w:rsidR="004B2544" w:rsidRPr="004B2544" w:rsidRDefault="004B2544" w:rsidP="004B2544">
            <w:r w:rsidRPr="004B2544">
              <w:t>Fookus</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028F511D" w14:textId="77777777" w:rsidR="004B2544" w:rsidRPr="004B2544" w:rsidRDefault="004B2544" w:rsidP="004B2544">
            <w:r w:rsidRPr="004B2544">
              <w:t>Kogu teenuse kogemus algusest lõpuni</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4F2772DE" w14:textId="77777777" w:rsidR="004B2544" w:rsidRPr="004B2544" w:rsidRDefault="004B2544" w:rsidP="004B2544">
            <w:r w:rsidRPr="004B2544">
              <w:t>Konkreetne digitaalne toode (rakendus, veebileht)</w:t>
            </w:r>
          </w:p>
        </w:tc>
      </w:tr>
      <w:tr w:rsidR="004B2544" w:rsidRPr="004B2544" w14:paraId="6891F0B3" w14:textId="77777777" w:rsidTr="004B254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8F333" w14:textId="77777777" w:rsidR="004B2544" w:rsidRPr="004B2544" w:rsidRDefault="004B2544" w:rsidP="004B2544">
            <w:r w:rsidRPr="004B2544">
              <w:t>Eesmärk</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0EF6B855" w14:textId="77777777" w:rsidR="004B2544" w:rsidRPr="004B2544" w:rsidRDefault="004B2544" w:rsidP="004B2544">
            <w:r w:rsidRPr="004B2544">
              <w:t>Sujuv ja väärtust loov teenus nii kliendile kui organisatsioonile</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2A0A4F53" w14:textId="77777777" w:rsidR="004B2544" w:rsidRPr="004B2544" w:rsidRDefault="004B2544" w:rsidP="004B2544">
            <w:r w:rsidRPr="004B2544">
              <w:t>Mugav ja meeldiv kasutajakogemus liideses</w:t>
            </w:r>
          </w:p>
        </w:tc>
      </w:tr>
      <w:tr w:rsidR="004B2544" w:rsidRPr="004B2544" w14:paraId="6C04138C" w14:textId="77777777" w:rsidTr="004B254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C0328" w14:textId="77777777" w:rsidR="004B2544" w:rsidRPr="004B2544" w:rsidRDefault="004B2544" w:rsidP="004B2544">
            <w:r w:rsidRPr="004B2544">
              <w:t>Tööriistad</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4AA1E03C" w14:textId="77777777" w:rsidR="004B2544" w:rsidRPr="004B2544" w:rsidRDefault="004B2544" w:rsidP="004B2544">
            <w:r w:rsidRPr="004B2544">
              <w:t xml:space="preserve">Klienditeekonna kaardid, teenuse </w:t>
            </w:r>
            <w:proofErr w:type="spellStart"/>
            <w:r w:rsidRPr="004B2544">
              <w:t>blueprint</w:t>
            </w:r>
            <w:proofErr w:type="spellEnd"/>
            <w:r w:rsidRPr="004B2544">
              <w:t xml:space="preserve">, töötoad, </w:t>
            </w:r>
            <w:proofErr w:type="spellStart"/>
            <w:r w:rsidRPr="004B2544">
              <w:t>prototüüpimine</w:t>
            </w:r>
            <w:proofErr w:type="spellEnd"/>
            <w:r w:rsidRPr="004B2544">
              <w:t xml:space="preserve"> päris teenuse stsenaariumides</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3F243B4F" w14:textId="170B67AA" w:rsidR="004B2544" w:rsidRPr="004B2544" w:rsidRDefault="004B2544" w:rsidP="004B2544">
            <w:proofErr w:type="spellStart"/>
            <w:r w:rsidRPr="004B2544">
              <w:t>Wireframe’id</w:t>
            </w:r>
            <w:proofErr w:type="spellEnd"/>
            <w:r w:rsidR="000F1FD7">
              <w:t xml:space="preserve"> (</w:t>
            </w:r>
            <w:r w:rsidR="000F1FD7" w:rsidRPr="000F1FD7">
              <w:t xml:space="preserve">kasutajaliidese mustand või skeem, mis näitab kuidas erinevad elemendid on ekraanil paigutatud. Tavaliselt lihtsad, must-valged, ei sisalda lõplikku disaini, keskenduvad rohkem sellele, kuidas informatsioon ja funktsioonid on organiseeritud. </w:t>
            </w:r>
            <w:proofErr w:type="spellStart"/>
            <w:r w:rsidR="000F1FD7" w:rsidRPr="000F1FD7">
              <w:t>Wireframe</w:t>
            </w:r>
            <w:proofErr w:type="spellEnd"/>
            <w:r w:rsidR="000F1FD7" w:rsidRPr="000F1FD7">
              <w:t xml:space="preserve"> aitab planeerida kasutajakogemust (UX) ja kujundada loogilist ja kasutajasõbralikku liidest</w:t>
            </w:r>
            <w:r w:rsidR="000F1FD7">
              <w:t>)</w:t>
            </w:r>
            <w:r w:rsidRPr="004B2544">
              <w:t xml:space="preserve">, </w:t>
            </w:r>
            <w:r w:rsidRPr="004B2544">
              <w:lastRenderedPageBreak/>
              <w:t>prototüübid, kasutajaliidese testid, disainisüsteemid</w:t>
            </w:r>
          </w:p>
        </w:tc>
      </w:tr>
      <w:tr w:rsidR="004B2544" w:rsidRPr="004B2544" w14:paraId="56ABAD0C" w14:textId="77777777" w:rsidTr="004B254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ED77E" w14:textId="77777777" w:rsidR="004B2544" w:rsidRPr="004B2544" w:rsidRDefault="004B2544" w:rsidP="004B2544">
            <w:r w:rsidRPr="004B2544">
              <w:lastRenderedPageBreak/>
              <w:t>Uurimisobjekt</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7E4E03DE" w14:textId="77777777" w:rsidR="004B2544" w:rsidRPr="004B2544" w:rsidRDefault="004B2544" w:rsidP="004B2544">
            <w:r w:rsidRPr="004B2544">
              <w:t>Kasutaja, töötajad, protsessid, süsteemid</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11F748AC" w14:textId="77777777" w:rsidR="004B2544" w:rsidRPr="004B2544" w:rsidRDefault="004B2544" w:rsidP="004B2544">
            <w:r w:rsidRPr="004B2544">
              <w:t>Kasutaja ja tema interaktsioon tootega</w:t>
            </w:r>
          </w:p>
        </w:tc>
      </w:tr>
      <w:tr w:rsidR="004B2544" w:rsidRPr="004B2544" w14:paraId="0F5A0526" w14:textId="77777777" w:rsidTr="004B254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A98E7" w14:textId="77777777" w:rsidR="004B2544" w:rsidRPr="004B2544" w:rsidRDefault="004B2544" w:rsidP="004B2544">
            <w:r w:rsidRPr="004B2544">
              <w:t>Ulatus</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7E688CD6" w14:textId="77777777" w:rsidR="004B2544" w:rsidRPr="004B2544" w:rsidRDefault="004B2544" w:rsidP="004B2544">
            <w:proofErr w:type="spellStart"/>
            <w:r w:rsidRPr="004B2544">
              <w:t>Holistiline</w:t>
            </w:r>
            <w:proofErr w:type="spellEnd"/>
            <w:r w:rsidRPr="004B2544">
              <w:t xml:space="preserve"> – hõlmab kõiki kontaktpunkte ja taustaprotsesse</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0BEFF36B" w14:textId="77777777" w:rsidR="004B2544" w:rsidRPr="004B2544" w:rsidRDefault="004B2544" w:rsidP="004B2544">
            <w:r w:rsidRPr="004B2544">
              <w:t>Piiratud toote või liidese tasemel</w:t>
            </w:r>
          </w:p>
        </w:tc>
      </w:tr>
    </w:tbl>
    <w:p w14:paraId="0B843BE7" w14:textId="77777777" w:rsidR="004B2544" w:rsidRPr="004B2544" w:rsidRDefault="004B2544" w:rsidP="004B2544"/>
    <w:tbl>
      <w:tblPr>
        <w:tblW w:w="0" w:type="auto"/>
        <w:tblCellSpacing w:w="15" w:type="dxa"/>
        <w:tblCellMar>
          <w:left w:w="0" w:type="dxa"/>
          <w:right w:w="0" w:type="dxa"/>
        </w:tblCellMar>
        <w:tblLook w:val="04A0" w:firstRow="1" w:lastRow="0" w:firstColumn="1" w:lastColumn="0" w:noHBand="0" w:noVBand="1"/>
      </w:tblPr>
      <w:tblGrid>
        <w:gridCol w:w="81"/>
        <w:gridCol w:w="4999"/>
        <w:gridCol w:w="3992"/>
      </w:tblGrid>
      <w:tr w:rsidR="004B2544" w:rsidRPr="004B2544" w14:paraId="573AB027" w14:textId="77777777" w:rsidTr="004B2544">
        <w:trPr>
          <w:tblHeader/>
          <w:tblCellSpacing w:w="15" w:type="dxa"/>
        </w:trPr>
        <w:tc>
          <w:tcPr>
            <w:tcW w:w="0" w:type="auto"/>
            <w:tcMar>
              <w:top w:w="15" w:type="dxa"/>
              <w:left w:w="15" w:type="dxa"/>
              <w:bottom w:w="15" w:type="dxa"/>
              <w:right w:w="15" w:type="dxa"/>
            </w:tcMar>
            <w:vAlign w:val="center"/>
            <w:hideMark/>
          </w:tcPr>
          <w:p w14:paraId="6AFAD020" w14:textId="77777777" w:rsidR="004B2544" w:rsidRPr="004B2544" w:rsidRDefault="004B2544" w:rsidP="004B2544"/>
        </w:tc>
        <w:tc>
          <w:tcPr>
            <w:tcW w:w="9304" w:type="dxa"/>
            <w:tcMar>
              <w:top w:w="15" w:type="dxa"/>
              <w:left w:w="15" w:type="dxa"/>
              <w:bottom w:w="15" w:type="dxa"/>
              <w:right w:w="15" w:type="dxa"/>
            </w:tcMar>
            <w:vAlign w:val="center"/>
            <w:hideMark/>
          </w:tcPr>
          <w:p w14:paraId="330F5935" w14:textId="77777777" w:rsidR="004B2544" w:rsidRPr="004B2544" w:rsidRDefault="004B2544" w:rsidP="004B2544"/>
        </w:tc>
        <w:tc>
          <w:tcPr>
            <w:tcW w:w="7384" w:type="dxa"/>
            <w:tcMar>
              <w:top w:w="15" w:type="dxa"/>
              <w:left w:w="15" w:type="dxa"/>
              <w:bottom w:w="15" w:type="dxa"/>
              <w:right w:w="15" w:type="dxa"/>
            </w:tcMar>
            <w:vAlign w:val="center"/>
            <w:hideMark/>
          </w:tcPr>
          <w:p w14:paraId="6EDE0A36" w14:textId="77777777" w:rsidR="004B2544" w:rsidRPr="004B2544" w:rsidRDefault="004B2544" w:rsidP="004B2544"/>
        </w:tc>
      </w:tr>
      <w:tr w:rsidR="004B2544" w:rsidRPr="004B2544" w14:paraId="7AD5A669" w14:textId="77777777" w:rsidTr="004B2544">
        <w:trPr>
          <w:tblCellSpacing w:w="15" w:type="dxa"/>
        </w:trPr>
        <w:tc>
          <w:tcPr>
            <w:tcW w:w="0" w:type="auto"/>
            <w:tcMar>
              <w:top w:w="15" w:type="dxa"/>
              <w:left w:w="15" w:type="dxa"/>
              <w:bottom w:w="15" w:type="dxa"/>
              <w:right w:w="15" w:type="dxa"/>
            </w:tcMar>
            <w:vAlign w:val="center"/>
            <w:hideMark/>
          </w:tcPr>
          <w:p w14:paraId="0184AFCC" w14:textId="77777777" w:rsidR="004B2544" w:rsidRPr="004B2544" w:rsidRDefault="004B2544" w:rsidP="004B2544"/>
        </w:tc>
        <w:tc>
          <w:tcPr>
            <w:tcW w:w="9304" w:type="dxa"/>
            <w:tcMar>
              <w:top w:w="15" w:type="dxa"/>
              <w:left w:w="15" w:type="dxa"/>
              <w:bottom w:w="15" w:type="dxa"/>
              <w:right w:w="15" w:type="dxa"/>
            </w:tcMar>
            <w:vAlign w:val="center"/>
            <w:hideMark/>
          </w:tcPr>
          <w:p w14:paraId="5A58E09A" w14:textId="77777777" w:rsidR="004B2544" w:rsidRPr="004B2544" w:rsidRDefault="004B2544" w:rsidP="004B2544"/>
        </w:tc>
        <w:tc>
          <w:tcPr>
            <w:tcW w:w="7384" w:type="dxa"/>
            <w:tcMar>
              <w:top w:w="15" w:type="dxa"/>
              <w:left w:w="15" w:type="dxa"/>
              <w:bottom w:w="15" w:type="dxa"/>
              <w:right w:w="15" w:type="dxa"/>
            </w:tcMar>
            <w:vAlign w:val="center"/>
            <w:hideMark/>
          </w:tcPr>
          <w:p w14:paraId="1EAD5654" w14:textId="77777777" w:rsidR="004B2544" w:rsidRPr="004B2544" w:rsidRDefault="004B2544" w:rsidP="004B2544"/>
        </w:tc>
      </w:tr>
      <w:tr w:rsidR="004B2544" w:rsidRPr="004B2544" w14:paraId="2437F6C0" w14:textId="77777777" w:rsidTr="004B2544">
        <w:trPr>
          <w:tblCellSpacing w:w="15" w:type="dxa"/>
        </w:trPr>
        <w:tc>
          <w:tcPr>
            <w:tcW w:w="0" w:type="auto"/>
            <w:tcMar>
              <w:top w:w="15" w:type="dxa"/>
              <w:left w:w="15" w:type="dxa"/>
              <w:bottom w:w="15" w:type="dxa"/>
              <w:right w:w="15" w:type="dxa"/>
            </w:tcMar>
            <w:vAlign w:val="center"/>
            <w:hideMark/>
          </w:tcPr>
          <w:p w14:paraId="715DF870" w14:textId="77777777" w:rsidR="004B2544" w:rsidRPr="004B2544" w:rsidRDefault="004B2544" w:rsidP="004B2544"/>
        </w:tc>
        <w:tc>
          <w:tcPr>
            <w:tcW w:w="9304" w:type="dxa"/>
            <w:tcMar>
              <w:top w:w="15" w:type="dxa"/>
              <w:left w:w="15" w:type="dxa"/>
              <w:bottom w:w="15" w:type="dxa"/>
              <w:right w:w="15" w:type="dxa"/>
            </w:tcMar>
            <w:vAlign w:val="center"/>
            <w:hideMark/>
          </w:tcPr>
          <w:p w14:paraId="3D10C8EA" w14:textId="77777777" w:rsidR="004B2544" w:rsidRPr="004B2544" w:rsidRDefault="004B2544" w:rsidP="004B2544"/>
        </w:tc>
        <w:tc>
          <w:tcPr>
            <w:tcW w:w="7384" w:type="dxa"/>
            <w:tcMar>
              <w:top w:w="15" w:type="dxa"/>
              <w:left w:w="15" w:type="dxa"/>
              <w:bottom w:w="15" w:type="dxa"/>
              <w:right w:w="15" w:type="dxa"/>
            </w:tcMar>
            <w:vAlign w:val="center"/>
            <w:hideMark/>
          </w:tcPr>
          <w:p w14:paraId="47F885F6" w14:textId="77777777" w:rsidR="004B2544" w:rsidRPr="004B2544" w:rsidRDefault="004B2544" w:rsidP="004B2544"/>
        </w:tc>
      </w:tr>
      <w:tr w:rsidR="004B2544" w:rsidRPr="004B2544" w14:paraId="4E1C5011" w14:textId="77777777" w:rsidTr="004B2544">
        <w:trPr>
          <w:tblCellSpacing w:w="15" w:type="dxa"/>
        </w:trPr>
        <w:tc>
          <w:tcPr>
            <w:tcW w:w="0" w:type="auto"/>
            <w:tcMar>
              <w:top w:w="15" w:type="dxa"/>
              <w:left w:w="15" w:type="dxa"/>
              <w:bottom w:w="15" w:type="dxa"/>
              <w:right w:w="15" w:type="dxa"/>
            </w:tcMar>
            <w:vAlign w:val="center"/>
            <w:hideMark/>
          </w:tcPr>
          <w:p w14:paraId="1201E910" w14:textId="77777777" w:rsidR="004B2544" w:rsidRPr="004B2544" w:rsidRDefault="004B2544" w:rsidP="004B2544"/>
        </w:tc>
        <w:tc>
          <w:tcPr>
            <w:tcW w:w="9304" w:type="dxa"/>
            <w:tcMar>
              <w:top w:w="15" w:type="dxa"/>
              <w:left w:w="15" w:type="dxa"/>
              <w:bottom w:w="15" w:type="dxa"/>
              <w:right w:w="15" w:type="dxa"/>
            </w:tcMar>
            <w:vAlign w:val="center"/>
            <w:hideMark/>
          </w:tcPr>
          <w:p w14:paraId="6E56BEF6" w14:textId="77777777" w:rsidR="004B2544" w:rsidRPr="004B2544" w:rsidRDefault="004B2544" w:rsidP="004B2544"/>
        </w:tc>
        <w:tc>
          <w:tcPr>
            <w:tcW w:w="7384" w:type="dxa"/>
            <w:tcMar>
              <w:top w:w="15" w:type="dxa"/>
              <w:left w:w="15" w:type="dxa"/>
              <w:bottom w:w="15" w:type="dxa"/>
              <w:right w:w="15" w:type="dxa"/>
            </w:tcMar>
            <w:vAlign w:val="center"/>
            <w:hideMark/>
          </w:tcPr>
          <w:p w14:paraId="10E8CD65" w14:textId="77777777" w:rsidR="004B2544" w:rsidRPr="004B2544" w:rsidRDefault="004B2544" w:rsidP="004B2544"/>
        </w:tc>
      </w:tr>
      <w:tr w:rsidR="004B2544" w:rsidRPr="004B2544" w14:paraId="1BB5563C" w14:textId="77777777" w:rsidTr="004B2544">
        <w:trPr>
          <w:tblCellSpacing w:w="15" w:type="dxa"/>
        </w:trPr>
        <w:tc>
          <w:tcPr>
            <w:tcW w:w="0" w:type="auto"/>
            <w:tcMar>
              <w:top w:w="15" w:type="dxa"/>
              <w:left w:w="15" w:type="dxa"/>
              <w:bottom w:w="15" w:type="dxa"/>
              <w:right w:w="15" w:type="dxa"/>
            </w:tcMar>
            <w:vAlign w:val="center"/>
            <w:hideMark/>
          </w:tcPr>
          <w:p w14:paraId="2F3874BE" w14:textId="77777777" w:rsidR="004B2544" w:rsidRPr="004B2544" w:rsidRDefault="004B2544" w:rsidP="004B2544"/>
        </w:tc>
        <w:tc>
          <w:tcPr>
            <w:tcW w:w="9304" w:type="dxa"/>
            <w:tcMar>
              <w:top w:w="15" w:type="dxa"/>
              <w:left w:w="15" w:type="dxa"/>
              <w:bottom w:w="15" w:type="dxa"/>
              <w:right w:w="15" w:type="dxa"/>
            </w:tcMar>
            <w:vAlign w:val="center"/>
            <w:hideMark/>
          </w:tcPr>
          <w:p w14:paraId="23E36B53" w14:textId="77777777" w:rsidR="004B2544" w:rsidRPr="004B2544" w:rsidRDefault="004B2544" w:rsidP="004B2544"/>
        </w:tc>
        <w:tc>
          <w:tcPr>
            <w:tcW w:w="7384" w:type="dxa"/>
            <w:tcMar>
              <w:top w:w="15" w:type="dxa"/>
              <w:left w:w="15" w:type="dxa"/>
              <w:bottom w:w="15" w:type="dxa"/>
              <w:right w:w="15" w:type="dxa"/>
            </w:tcMar>
            <w:vAlign w:val="center"/>
            <w:hideMark/>
          </w:tcPr>
          <w:p w14:paraId="669921DF" w14:textId="77777777" w:rsidR="004B2544" w:rsidRPr="004B2544" w:rsidRDefault="004B2544" w:rsidP="004B2544"/>
        </w:tc>
      </w:tr>
      <w:tr w:rsidR="004B2544" w:rsidRPr="004B2544" w14:paraId="4FF29C0A" w14:textId="77777777" w:rsidTr="004B2544">
        <w:trPr>
          <w:tblCellSpacing w:w="15" w:type="dxa"/>
        </w:trPr>
        <w:tc>
          <w:tcPr>
            <w:tcW w:w="0" w:type="auto"/>
            <w:tcMar>
              <w:top w:w="15" w:type="dxa"/>
              <w:left w:w="15" w:type="dxa"/>
              <w:bottom w:w="15" w:type="dxa"/>
              <w:right w:w="15" w:type="dxa"/>
            </w:tcMar>
            <w:vAlign w:val="center"/>
            <w:hideMark/>
          </w:tcPr>
          <w:p w14:paraId="16B9F6B2" w14:textId="77777777" w:rsidR="004B2544" w:rsidRPr="004B2544" w:rsidRDefault="004B2544" w:rsidP="004B2544"/>
        </w:tc>
        <w:tc>
          <w:tcPr>
            <w:tcW w:w="9304" w:type="dxa"/>
            <w:tcMar>
              <w:top w:w="15" w:type="dxa"/>
              <w:left w:w="15" w:type="dxa"/>
              <w:bottom w:w="15" w:type="dxa"/>
              <w:right w:w="15" w:type="dxa"/>
            </w:tcMar>
            <w:vAlign w:val="center"/>
            <w:hideMark/>
          </w:tcPr>
          <w:p w14:paraId="7739B54C" w14:textId="77777777" w:rsidR="004B2544" w:rsidRPr="004B2544" w:rsidRDefault="004B2544" w:rsidP="004B2544"/>
        </w:tc>
        <w:tc>
          <w:tcPr>
            <w:tcW w:w="7384" w:type="dxa"/>
            <w:tcMar>
              <w:top w:w="15" w:type="dxa"/>
              <w:left w:w="15" w:type="dxa"/>
              <w:bottom w:w="15" w:type="dxa"/>
              <w:right w:w="15" w:type="dxa"/>
            </w:tcMar>
            <w:vAlign w:val="center"/>
            <w:hideMark/>
          </w:tcPr>
          <w:p w14:paraId="7BED0C02" w14:textId="77777777" w:rsidR="004B2544" w:rsidRPr="004B2544" w:rsidRDefault="004B2544" w:rsidP="004B2544"/>
        </w:tc>
      </w:tr>
    </w:tbl>
    <w:p w14:paraId="29591A74" w14:textId="77777777" w:rsidR="004B2544" w:rsidRPr="004B2544" w:rsidRDefault="004B2544" w:rsidP="004B2544"/>
    <w:p w14:paraId="5A58A06B" w14:textId="65CDAEA9" w:rsidR="004B2544" w:rsidRPr="004B2544" w:rsidRDefault="004B2544" w:rsidP="001358B0">
      <w:pPr>
        <w:jc w:val="both"/>
      </w:pPr>
      <w:r w:rsidRPr="004B2544">
        <w:t xml:space="preserve">Kokkuvõtvalt ütleme, et teenusedisaini ja UI/UX disaini </w:t>
      </w:r>
      <w:r w:rsidR="001358B0">
        <w:t>eesmärgid</w:t>
      </w:r>
      <w:r w:rsidRPr="004B2544">
        <w:t xml:space="preserve"> on erinevad, nad tegelevad disainiga erinevatel tasemetel, teenusedisain on palju laiem kui UI/UX disain, mis on üks osa tarkvara arendusprotsessist.</w:t>
      </w:r>
    </w:p>
    <w:p w14:paraId="3404ADB0" w14:textId="1AC808D4" w:rsidR="003B73D9" w:rsidRDefault="00413739" w:rsidP="0026483E">
      <w:pPr>
        <w:jc w:val="both"/>
      </w:pPr>
      <w:r>
        <w:t>Lisaks eeltoodule peame vajalikuks rõhutada</w:t>
      </w:r>
      <w:r w:rsidR="0026483E">
        <w:t>, et RHS §</w:t>
      </w:r>
      <w:bookmarkStart w:id="0" w:name="para28lg2"/>
      <w:r w:rsidR="0026483E">
        <w:t xml:space="preserve"> 28 lg 2 viimasel lause kohaselt</w:t>
      </w:r>
      <w:r w:rsidR="0026483E" w:rsidRPr="0026483E">
        <w:t> </w:t>
      </w:r>
      <w:bookmarkEnd w:id="0"/>
      <w:r w:rsidR="0026483E">
        <w:t>võib h</w:t>
      </w:r>
      <w:r w:rsidR="0026483E" w:rsidRPr="0026483E">
        <w:t>ankija võib jaotada riigihanke osadeks, kui see on objektiivsetel põhjustel õigustatud</w:t>
      </w:r>
      <w:r w:rsidR="0026483E">
        <w:t xml:space="preserve"> (vt ka klassikalise direktiivi art 5 lg 3). Seega näeb nii seadus kui ka direktiiv ette õiguse j</w:t>
      </w:r>
      <w:r w:rsidR="0026483E" w:rsidRPr="0026483E">
        <w:t xml:space="preserve">aotada riigihange erinevateks riigihangete menetlusteks ilma summeeritud kogumaksumust arvestamata, kui see on objektiivsetel põhjustel </w:t>
      </w:r>
      <w:r w:rsidR="0026483E">
        <w:t>õ</w:t>
      </w:r>
      <w:r w:rsidR="0026483E" w:rsidRPr="0026483E">
        <w:t>igustatud</w:t>
      </w:r>
      <w:r w:rsidR="0026483E">
        <w:t xml:space="preserve">. </w:t>
      </w:r>
    </w:p>
    <w:p w14:paraId="3C40AE81" w14:textId="080B0DB6" w:rsidR="0026483E" w:rsidRDefault="0026483E" w:rsidP="0026483E">
      <w:pPr>
        <w:jc w:val="both"/>
      </w:pPr>
      <w:r>
        <w:t>Hankija hinnangul isegi juhul kui asuda seisukohale, et teenusedisaini hange ja arendustööde hange kannavad sama eesmärki, siis esinevad sellised objektiivsed asjaolud, mis võimaldavad RHS § 28 lg 2 alusel j</w:t>
      </w:r>
      <w:r w:rsidRPr="0026483E">
        <w:t>aotada riigihange erinevateks riigihangete menetlusteks ilma summeeritud kogumaksumust arvestamata</w:t>
      </w:r>
      <w:r>
        <w:t>.</w:t>
      </w:r>
    </w:p>
    <w:p w14:paraId="61EA1EEC" w14:textId="146D3CAC" w:rsidR="00575356" w:rsidRDefault="00E949C8" w:rsidP="0026483E">
      <w:pPr>
        <w:jc w:val="both"/>
      </w:pPr>
      <w:r>
        <w:t>Lisaks eeltoodud selgitustele, et tarkvara arendustööd ja teenusedisain on oma olemuselt</w:t>
      </w:r>
      <w:r w:rsidR="000F57F6">
        <w:t xml:space="preserve"> </w:t>
      </w:r>
      <w:r>
        <w:t>erinevad teenused, millel on erinevad väljundid ja eesmärgid:</w:t>
      </w:r>
    </w:p>
    <w:p w14:paraId="592AC807" w14:textId="1FA2B846" w:rsidR="00E949C8" w:rsidRDefault="00E949C8" w:rsidP="00E949C8">
      <w:pPr>
        <w:pStyle w:val="ListParagraph"/>
        <w:numPr>
          <w:ilvl w:val="0"/>
          <w:numId w:val="3"/>
        </w:numPr>
        <w:jc w:val="both"/>
      </w:pPr>
      <w:r>
        <w:t>Teenusedisaini puhul: luua visioon teenusest vaadeldes seda tervikuna.</w:t>
      </w:r>
    </w:p>
    <w:p w14:paraId="2493D02D" w14:textId="3B52EB31" w:rsidR="00975935" w:rsidRDefault="00E949C8" w:rsidP="00E949C8">
      <w:pPr>
        <w:pStyle w:val="ListParagraph"/>
        <w:numPr>
          <w:ilvl w:val="0"/>
          <w:numId w:val="3"/>
        </w:numPr>
        <w:jc w:val="both"/>
      </w:pPr>
      <w:r>
        <w:t xml:space="preserve">Tarkvara arendustööde puhul: </w:t>
      </w:r>
      <w:r w:rsidRPr="00E949C8">
        <w:t>luua, täiustada ja hooldada tarkvaralahendusi</w:t>
      </w:r>
      <w:r>
        <w:t xml:space="preserve">, mis </w:t>
      </w:r>
      <w:r w:rsidRPr="00E949C8">
        <w:t>hõlmab funktsionaalse, töökindla ja kvaliteetse tarkvara väljatöötamist</w:t>
      </w:r>
      <w:r>
        <w:t>.</w:t>
      </w:r>
    </w:p>
    <w:p w14:paraId="58F5E439" w14:textId="77777777" w:rsidR="00975935" w:rsidRDefault="00E949C8" w:rsidP="00E949C8">
      <w:pPr>
        <w:jc w:val="both"/>
      </w:pPr>
      <w:r>
        <w:t>Peame vajalikuks rõhutada</w:t>
      </w:r>
      <w:r w:rsidR="00975935">
        <w:t xml:space="preserve"> järgmist:</w:t>
      </w:r>
    </w:p>
    <w:p w14:paraId="3F8E0E11" w14:textId="18860FD5" w:rsidR="00975935" w:rsidRDefault="00975935" w:rsidP="00975935">
      <w:pPr>
        <w:pStyle w:val="ListParagraph"/>
        <w:numPr>
          <w:ilvl w:val="0"/>
          <w:numId w:val="4"/>
        </w:numPr>
        <w:jc w:val="both"/>
      </w:pPr>
      <w:r>
        <w:t>Kahe kõnesoleva</w:t>
      </w:r>
      <w:r w:rsidR="00D831B0">
        <w:t>te</w:t>
      </w:r>
      <w:r>
        <w:t xml:space="preserve"> hankelepingute ese on erinev. </w:t>
      </w:r>
      <w:r w:rsidR="00D831B0">
        <w:t xml:space="preserve">Teenusedisaini hankelepingu esemeks on </w:t>
      </w:r>
      <w:r w:rsidR="00D831B0" w:rsidRPr="00D831B0">
        <w:t>vii</w:t>
      </w:r>
      <w:r w:rsidR="00D831B0">
        <w:t>a</w:t>
      </w:r>
      <w:r w:rsidR="00D831B0" w:rsidRPr="00D831B0">
        <w:t xml:space="preserve"> läbi teenusedisain, sh kasutajauuring, l</w:t>
      </w:r>
      <w:r w:rsidR="00D831B0">
        <w:t>uua</w:t>
      </w:r>
      <w:r w:rsidR="00D831B0" w:rsidRPr="00D831B0">
        <w:t xml:space="preserve"> prototüü</w:t>
      </w:r>
      <w:r w:rsidR="00D831B0">
        <w:t>p</w:t>
      </w:r>
      <w:r w:rsidR="00D831B0" w:rsidRPr="00D831B0">
        <w:t xml:space="preserve"> ja stiiliraamat</w:t>
      </w:r>
      <w:r w:rsidR="00D831B0">
        <w:t xml:space="preserve">. Tarkvara arendustööde hanke ese on </w:t>
      </w:r>
      <w:r w:rsidR="00D831B0" w:rsidRPr="4CDFB7E1">
        <w:rPr>
          <w:color w:val="000000" w:themeColor="text1"/>
        </w:rPr>
        <w:t>rahvastikuregistri uue menetlustarkvara analüüsi - ja arendustööd</w:t>
      </w:r>
      <w:r w:rsidR="00D831B0">
        <w:rPr>
          <w:color w:val="000000" w:themeColor="text1"/>
        </w:rPr>
        <w:t>. Tarkvara arendustööde hankeleping hõlmab ka mh detailanalüüsi</w:t>
      </w:r>
      <w:r w:rsidR="000F57F6">
        <w:rPr>
          <w:color w:val="000000" w:themeColor="text1"/>
        </w:rPr>
        <w:t xml:space="preserve"> (sh ka UX/UI disain)</w:t>
      </w:r>
      <w:r w:rsidR="00D831B0">
        <w:rPr>
          <w:color w:val="000000" w:themeColor="text1"/>
        </w:rPr>
        <w:t xml:space="preserve">, mis kätkeb </w:t>
      </w:r>
      <w:r w:rsidR="00D831B0" w:rsidRPr="00D831B0">
        <w:rPr>
          <w:color w:val="000000" w:themeColor="text1"/>
        </w:rPr>
        <w:t xml:space="preserve">endas kõigi nõuete spetsifitseerimist ja kogu tehnilise dokumentatsiooni läbivaatamist koos hankijaga, et leida hanke eesmärgi saavutamiseks parim lahendus. Detailanalüüsi </w:t>
      </w:r>
      <w:r w:rsidR="00D831B0" w:rsidRPr="00D831B0">
        <w:rPr>
          <w:color w:val="000000" w:themeColor="text1"/>
        </w:rPr>
        <w:lastRenderedPageBreak/>
        <w:t>tulemusel lepivad hankija ja pakkuja kokku, mida pakkuja realiseerib ning hankija hangib. Detailanalüüs peab andma vastused küsimusele: mida, millal, kuidas, mis tulemiga ja kes peab saama erinevaid protsesse/töövooge tarkvaras läbi viia</w:t>
      </w:r>
      <w:r w:rsidR="00D831B0">
        <w:rPr>
          <w:color w:val="000000" w:themeColor="text1"/>
        </w:rPr>
        <w:t>. Eeltoodust nähtub üheselt, et rahvastikuregistri arendustööde hanke eseme hulgas on detailanalüüs</w:t>
      </w:r>
      <w:r w:rsidR="009E49A1">
        <w:rPr>
          <w:color w:val="000000" w:themeColor="text1"/>
        </w:rPr>
        <w:t xml:space="preserve"> (UX/UI disain)</w:t>
      </w:r>
      <w:r w:rsidR="00D831B0">
        <w:rPr>
          <w:color w:val="000000" w:themeColor="text1"/>
        </w:rPr>
        <w:t>, mis on otseselt ja vahetult seotud arendustöödega, mitte teenusedisain, mis nendele küsimustele ei vasta.</w:t>
      </w:r>
    </w:p>
    <w:p w14:paraId="3093CF37" w14:textId="78662724" w:rsidR="00E949C8" w:rsidRPr="00975935" w:rsidRDefault="00975935" w:rsidP="00975935">
      <w:pPr>
        <w:pStyle w:val="ListParagraph"/>
        <w:numPr>
          <w:ilvl w:val="0"/>
          <w:numId w:val="4"/>
        </w:numPr>
        <w:jc w:val="both"/>
      </w:pPr>
      <w:r>
        <w:t>T</w:t>
      </w:r>
      <w:r w:rsidR="00E949C8">
        <w:t xml:space="preserve">eenuste puhul </w:t>
      </w:r>
      <w:r>
        <w:t xml:space="preserve">ka </w:t>
      </w:r>
      <w:r>
        <w:rPr>
          <w:rFonts w:cstheme="minorHAnsi"/>
        </w:rPr>
        <w:t>pakkujate ring erineb (teenusedisaini hanke registreerimislehelt nähtub, et registreerunud on suur hulk ettevõtjaid, kes ei tegele tarkvaraarendustöödega)</w:t>
      </w:r>
      <w:r w:rsidR="007B2300">
        <w:rPr>
          <w:rStyle w:val="FootnoteReference"/>
          <w:rFonts w:cstheme="minorHAnsi"/>
        </w:rPr>
        <w:footnoteReference w:id="1"/>
      </w:r>
      <w:r>
        <w:rPr>
          <w:rFonts w:cstheme="minorHAnsi"/>
        </w:rPr>
        <w:t>.</w:t>
      </w:r>
    </w:p>
    <w:p w14:paraId="0FF68ECF" w14:textId="210313EC" w:rsidR="00975935" w:rsidRPr="007B2300" w:rsidRDefault="00975935" w:rsidP="00975935">
      <w:pPr>
        <w:pStyle w:val="ListParagraph"/>
        <w:numPr>
          <w:ilvl w:val="0"/>
          <w:numId w:val="4"/>
        </w:numPr>
        <w:jc w:val="both"/>
      </w:pPr>
      <w:r>
        <w:rPr>
          <w:rFonts w:cstheme="minorHAnsi"/>
        </w:rPr>
        <w:t xml:space="preserve">Objektiivelt ei ole mõistlik kohustada hankijat hankemenetluste maksumusi summeerima, kui hankelepingute eesmärk on täiesti erinev pelgalt seetõttu, et üks võib mõjutada teist. </w:t>
      </w:r>
    </w:p>
    <w:p w14:paraId="7157BBA3" w14:textId="24E4CB51" w:rsidR="00575356" w:rsidRDefault="00D831B0" w:rsidP="0026483E">
      <w:pPr>
        <w:jc w:val="both"/>
      </w:pPr>
      <w:r>
        <w:t>Vastuseks küsimusele, kas r</w:t>
      </w:r>
      <w:r w:rsidRPr="00D831B0">
        <w:t>ahvastikuregistri arendamine toimub agiilse metoodika alusel</w:t>
      </w:r>
      <w:r>
        <w:t xml:space="preserve"> märgime, et kuivõrd teenusedisain ei hõlma endas tarkvaraarendustöid, siis jääb küsimuse sisu hankijale natuke arusaamatuks. Küll aga selgitame, et töövõtulepingute puhul ei ole hankijale oluline, millist arendusmetoodikat kasutatakse, oluline on üksnes hankelepingu esemeks olevate eesmärkide saavutamine. Millisel moel täitja otsustab need eesmärgid saavutada – kas ta kasuta</w:t>
      </w:r>
      <w:r w:rsidR="00FD1831">
        <w:t>des</w:t>
      </w:r>
      <w:r>
        <w:t xml:space="preserve"> agiilset ar</w:t>
      </w:r>
      <w:r w:rsidR="00FD1831">
        <w:t>e</w:t>
      </w:r>
      <w:r>
        <w:t xml:space="preserve">ndusmetoodikat või otsustab </w:t>
      </w:r>
      <w:proofErr w:type="spellStart"/>
      <w:r w:rsidR="00FD1831">
        <w:t>waterfall</w:t>
      </w:r>
      <w:proofErr w:type="spellEnd"/>
      <w:r w:rsidR="00FD1831">
        <w:t xml:space="preserve"> metoodika kasuks – ei ole hankijale oluline. Kui see vastus ei ole </w:t>
      </w:r>
      <w:proofErr w:type="spellStart"/>
      <w:r w:rsidR="00FD1831">
        <w:t>RTK-le</w:t>
      </w:r>
      <w:proofErr w:type="spellEnd"/>
      <w:r w:rsidR="00FD1831">
        <w:t xml:space="preserve"> piisav, siis palub hankija küsimuse sisu ja eesmärki avada, et saaksime vajadusel sisulisemalt teie küsimusele vastata. </w:t>
      </w:r>
    </w:p>
    <w:sectPr w:rsidR="005753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E9EB" w14:textId="77777777" w:rsidR="00F24083" w:rsidRDefault="00F24083" w:rsidP="007B2300">
      <w:pPr>
        <w:spacing w:after="0" w:line="240" w:lineRule="auto"/>
      </w:pPr>
      <w:r>
        <w:separator/>
      </w:r>
    </w:p>
  </w:endnote>
  <w:endnote w:type="continuationSeparator" w:id="0">
    <w:p w14:paraId="660D4148" w14:textId="77777777" w:rsidR="00F24083" w:rsidRDefault="00F24083" w:rsidP="007B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324D" w14:textId="77777777" w:rsidR="00F24083" w:rsidRDefault="00F24083" w:rsidP="007B2300">
      <w:pPr>
        <w:spacing w:after="0" w:line="240" w:lineRule="auto"/>
      </w:pPr>
      <w:r>
        <w:separator/>
      </w:r>
    </w:p>
  </w:footnote>
  <w:footnote w:type="continuationSeparator" w:id="0">
    <w:p w14:paraId="70B0C204" w14:textId="77777777" w:rsidR="00F24083" w:rsidRDefault="00F24083" w:rsidP="007B2300">
      <w:pPr>
        <w:spacing w:after="0" w:line="240" w:lineRule="auto"/>
      </w:pPr>
      <w:r>
        <w:continuationSeparator/>
      </w:r>
    </w:p>
  </w:footnote>
  <w:footnote w:id="1">
    <w:p w14:paraId="01F882A6" w14:textId="16789621" w:rsidR="007B2300" w:rsidRDefault="007B2300">
      <w:pPr>
        <w:pStyle w:val="FootnoteText"/>
      </w:pPr>
      <w:r>
        <w:rPr>
          <w:rStyle w:val="FootnoteReference"/>
        </w:rPr>
        <w:footnoteRef/>
      </w:r>
      <w:r>
        <w:t xml:space="preserve"> </w:t>
      </w:r>
      <w:r w:rsidRPr="007B2300">
        <w:t>Arrowsmith, S. EU Public Procurement Law: An Introduction, lk 105. Kättesaadav - https://www.nottingham.ac.uk/pprg/documentsarchive/asialinkmaterials/eupublicprocurementlawintroduction.pdf (29.09.2016).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4C4"/>
    <w:multiLevelType w:val="hybridMultilevel"/>
    <w:tmpl w:val="15C6BA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4204781"/>
    <w:multiLevelType w:val="hybridMultilevel"/>
    <w:tmpl w:val="C4A6B8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5CF3452"/>
    <w:multiLevelType w:val="hybridMultilevel"/>
    <w:tmpl w:val="22347D86"/>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16cid:durableId="12806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4761818">
    <w:abstractNumId w:val="2"/>
  </w:num>
  <w:num w:numId="3" w16cid:durableId="360128627">
    <w:abstractNumId w:val="0"/>
  </w:num>
  <w:num w:numId="4" w16cid:durableId="95394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44"/>
    <w:rsid w:val="000B5065"/>
    <w:rsid w:val="000F1FD7"/>
    <w:rsid w:val="000F57F6"/>
    <w:rsid w:val="001358B0"/>
    <w:rsid w:val="001D2B19"/>
    <w:rsid w:val="001F2458"/>
    <w:rsid w:val="0026483E"/>
    <w:rsid w:val="003B73D9"/>
    <w:rsid w:val="00413739"/>
    <w:rsid w:val="004A598F"/>
    <w:rsid w:val="004B2544"/>
    <w:rsid w:val="005368B7"/>
    <w:rsid w:val="00575356"/>
    <w:rsid w:val="005B17D2"/>
    <w:rsid w:val="006323F4"/>
    <w:rsid w:val="00657BF3"/>
    <w:rsid w:val="00662117"/>
    <w:rsid w:val="006945C5"/>
    <w:rsid w:val="007B2300"/>
    <w:rsid w:val="008128BB"/>
    <w:rsid w:val="009170A2"/>
    <w:rsid w:val="00975935"/>
    <w:rsid w:val="009E49A1"/>
    <w:rsid w:val="00CB7412"/>
    <w:rsid w:val="00D831B0"/>
    <w:rsid w:val="00E949C8"/>
    <w:rsid w:val="00ED695D"/>
    <w:rsid w:val="00F24083"/>
    <w:rsid w:val="00FD18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BE0A"/>
  <w15:chartTrackingRefBased/>
  <w15:docId w15:val="{D1CEEB59-8403-4D7A-9D22-1B4A94A2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544"/>
    <w:rPr>
      <w:rFonts w:eastAsiaTheme="majorEastAsia" w:cstheme="majorBidi"/>
      <w:color w:val="272727" w:themeColor="text1" w:themeTint="D8"/>
    </w:rPr>
  </w:style>
  <w:style w:type="paragraph" w:styleId="Title">
    <w:name w:val="Title"/>
    <w:basedOn w:val="Normal"/>
    <w:next w:val="Normal"/>
    <w:link w:val="TitleChar"/>
    <w:uiPriority w:val="10"/>
    <w:qFormat/>
    <w:rsid w:val="004B2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544"/>
    <w:pPr>
      <w:spacing w:before="160"/>
      <w:jc w:val="center"/>
    </w:pPr>
    <w:rPr>
      <w:i/>
      <w:iCs/>
      <w:color w:val="404040" w:themeColor="text1" w:themeTint="BF"/>
    </w:rPr>
  </w:style>
  <w:style w:type="character" w:customStyle="1" w:styleId="QuoteChar">
    <w:name w:val="Quote Char"/>
    <w:basedOn w:val="DefaultParagraphFont"/>
    <w:link w:val="Quote"/>
    <w:uiPriority w:val="29"/>
    <w:rsid w:val="004B2544"/>
    <w:rPr>
      <w:i/>
      <w:iCs/>
      <w:color w:val="404040" w:themeColor="text1" w:themeTint="BF"/>
    </w:rPr>
  </w:style>
  <w:style w:type="paragraph" w:styleId="ListParagraph">
    <w:name w:val="List Paragraph"/>
    <w:basedOn w:val="Normal"/>
    <w:uiPriority w:val="34"/>
    <w:qFormat/>
    <w:rsid w:val="004B2544"/>
    <w:pPr>
      <w:ind w:left="720"/>
      <w:contextualSpacing/>
    </w:pPr>
  </w:style>
  <w:style w:type="character" w:styleId="IntenseEmphasis">
    <w:name w:val="Intense Emphasis"/>
    <w:basedOn w:val="DefaultParagraphFont"/>
    <w:uiPriority w:val="21"/>
    <w:qFormat/>
    <w:rsid w:val="004B2544"/>
    <w:rPr>
      <w:i/>
      <w:iCs/>
      <w:color w:val="0F4761" w:themeColor="accent1" w:themeShade="BF"/>
    </w:rPr>
  </w:style>
  <w:style w:type="paragraph" w:styleId="IntenseQuote">
    <w:name w:val="Intense Quote"/>
    <w:basedOn w:val="Normal"/>
    <w:next w:val="Normal"/>
    <w:link w:val="IntenseQuoteChar"/>
    <w:uiPriority w:val="30"/>
    <w:qFormat/>
    <w:rsid w:val="004B2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544"/>
    <w:rPr>
      <w:i/>
      <w:iCs/>
      <w:color w:val="0F4761" w:themeColor="accent1" w:themeShade="BF"/>
    </w:rPr>
  </w:style>
  <w:style w:type="character" w:styleId="IntenseReference">
    <w:name w:val="Intense Reference"/>
    <w:basedOn w:val="DefaultParagraphFont"/>
    <w:uiPriority w:val="32"/>
    <w:qFormat/>
    <w:rsid w:val="004B2544"/>
    <w:rPr>
      <w:b/>
      <w:bCs/>
      <w:smallCaps/>
      <w:color w:val="0F4761" w:themeColor="accent1" w:themeShade="BF"/>
      <w:spacing w:val="5"/>
    </w:rPr>
  </w:style>
  <w:style w:type="paragraph" w:styleId="NormalWeb">
    <w:name w:val="Normal (Web)"/>
    <w:basedOn w:val="Normal"/>
    <w:uiPriority w:val="99"/>
    <w:semiHidden/>
    <w:unhideWhenUsed/>
    <w:rsid w:val="004B2544"/>
    <w:rPr>
      <w:rFonts w:ascii="Times New Roman" w:hAnsi="Times New Roman" w:cs="Times New Roman"/>
    </w:rPr>
  </w:style>
  <w:style w:type="character" w:styleId="CommentReference">
    <w:name w:val="annotation reference"/>
    <w:basedOn w:val="DefaultParagraphFont"/>
    <w:uiPriority w:val="99"/>
    <w:semiHidden/>
    <w:unhideWhenUsed/>
    <w:rsid w:val="001358B0"/>
    <w:rPr>
      <w:sz w:val="16"/>
      <w:szCs w:val="16"/>
    </w:rPr>
  </w:style>
  <w:style w:type="paragraph" w:styleId="CommentText">
    <w:name w:val="annotation text"/>
    <w:basedOn w:val="Normal"/>
    <w:link w:val="CommentTextChar"/>
    <w:uiPriority w:val="99"/>
    <w:unhideWhenUsed/>
    <w:rsid w:val="001358B0"/>
    <w:pPr>
      <w:spacing w:line="240" w:lineRule="auto"/>
    </w:pPr>
    <w:rPr>
      <w:sz w:val="20"/>
      <w:szCs w:val="20"/>
    </w:rPr>
  </w:style>
  <w:style w:type="character" w:customStyle="1" w:styleId="CommentTextChar">
    <w:name w:val="Comment Text Char"/>
    <w:basedOn w:val="DefaultParagraphFont"/>
    <w:link w:val="CommentText"/>
    <w:uiPriority w:val="99"/>
    <w:rsid w:val="001358B0"/>
    <w:rPr>
      <w:sz w:val="20"/>
      <w:szCs w:val="20"/>
    </w:rPr>
  </w:style>
  <w:style w:type="paragraph" w:styleId="CommentSubject">
    <w:name w:val="annotation subject"/>
    <w:basedOn w:val="CommentText"/>
    <w:next w:val="CommentText"/>
    <w:link w:val="CommentSubjectChar"/>
    <w:uiPriority w:val="99"/>
    <w:semiHidden/>
    <w:unhideWhenUsed/>
    <w:rsid w:val="001358B0"/>
    <w:rPr>
      <w:b/>
      <w:bCs/>
    </w:rPr>
  </w:style>
  <w:style w:type="character" w:customStyle="1" w:styleId="CommentSubjectChar">
    <w:name w:val="Comment Subject Char"/>
    <w:basedOn w:val="CommentTextChar"/>
    <w:link w:val="CommentSubject"/>
    <w:uiPriority w:val="99"/>
    <w:semiHidden/>
    <w:rsid w:val="001358B0"/>
    <w:rPr>
      <w:b/>
      <w:bCs/>
      <w:sz w:val="20"/>
      <w:szCs w:val="20"/>
    </w:rPr>
  </w:style>
  <w:style w:type="paragraph" w:styleId="FootnoteText">
    <w:name w:val="footnote text"/>
    <w:basedOn w:val="Normal"/>
    <w:link w:val="FootnoteTextChar"/>
    <w:uiPriority w:val="99"/>
    <w:semiHidden/>
    <w:unhideWhenUsed/>
    <w:rsid w:val="007B23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300"/>
    <w:rPr>
      <w:sz w:val="20"/>
      <w:szCs w:val="20"/>
    </w:rPr>
  </w:style>
  <w:style w:type="character" w:styleId="FootnoteReference">
    <w:name w:val="footnote reference"/>
    <w:basedOn w:val="DefaultParagraphFont"/>
    <w:uiPriority w:val="99"/>
    <w:semiHidden/>
    <w:unhideWhenUsed/>
    <w:rsid w:val="007B2300"/>
    <w:rPr>
      <w:vertAlign w:val="superscript"/>
    </w:rPr>
  </w:style>
  <w:style w:type="paragraph" w:styleId="Revision">
    <w:name w:val="Revision"/>
    <w:hidden/>
    <w:uiPriority w:val="99"/>
    <w:semiHidden/>
    <w:rsid w:val="000F5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2448">
      <w:bodyDiv w:val="1"/>
      <w:marLeft w:val="0"/>
      <w:marRight w:val="0"/>
      <w:marTop w:val="0"/>
      <w:marBottom w:val="0"/>
      <w:divBdr>
        <w:top w:val="none" w:sz="0" w:space="0" w:color="auto"/>
        <w:left w:val="none" w:sz="0" w:space="0" w:color="auto"/>
        <w:bottom w:val="none" w:sz="0" w:space="0" w:color="auto"/>
        <w:right w:val="none" w:sz="0" w:space="0" w:color="auto"/>
      </w:divBdr>
    </w:div>
    <w:div w:id="665667887">
      <w:bodyDiv w:val="1"/>
      <w:marLeft w:val="0"/>
      <w:marRight w:val="0"/>
      <w:marTop w:val="0"/>
      <w:marBottom w:val="0"/>
      <w:divBdr>
        <w:top w:val="none" w:sz="0" w:space="0" w:color="auto"/>
        <w:left w:val="none" w:sz="0" w:space="0" w:color="auto"/>
        <w:bottom w:val="none" w:sz="0" w:space="0" w:color="auto"/>
        <w:right w:val="none" w:sz="0" w:space="0" w:color="auto"/>
      </w:divBdr>
    </w:div>
    <w:div w:id="857624267">
      <w:bodyDiv w:val="1"/>
      <w:marLeft w:val="0"/>
      <w:marRight w:val="0"/>
      <w:marTop w:val="0"/>
      <w:marBottom w:val="0"/>
      <w:divBdr>
        <w:top w:val="none" w:sz="0" w:space="0" w:color="auto"/>
        <w:left w:val="none" w:sz="0" w:space="0" w:color="auto"/>
        <w:bottom w:val="none" w:sz="0" w:space="0" w:color="auto"/>
        <w:right w:val="none" w:sz="0" w:space="0" w:color="auto"/>
      </w:divBdr>
    </w:div>
    <w:div w:id="1188059215">
      <w:bodyDiv w:val="1"/>
      <w:marLeft w:val="0"/>
      <w:marRight w:val="0"/>
      <w:marTop w:val="0"/>
      <w:marBottom w:val="0"/>
      <w:divBdr>
        <w:top w:val="none" w:sz="0" w:space="0" w:color="auto"/>
        <w:left w:val="none" w:sz="0" w:space="0" w:color="auto"/>
        <w:bottom w:val="none" w:sz="0" w:space="0" w:color="auto"/>
        <w:right w:val="none" w:sz="0" w:space="0" w:color="auto"/>
      </w:divBdr>
    </w:div>
    <w:div w:id="1324504415">
      <w:bodyDiv w:val="1"/>
      <w:marLeft w:val="0"/>
      <w:marRight w:val="0"/>
      <w:marTop w:val="0"/>
      <w:marBottom w:val="0"/>
      <w:divBdr>
        <w:top w:val="none" w:sz="0" w:space="0" w:color="auto"/>
        <w:left w:val="none" w:sz="0" w:space="0" w:color="auto"/>
        <w:bottom w:val="none" w:sz="0" w:space="0" w:color="auto"/>
        <w:right w:val="none" w:sz="0" w:space="0" w:color="auto"/>
      </w:divBdr>
    </w:div>
    <w:div w:id="1845783315">
      <w:bodyDiv w:val="1"/>
      <w:marLeft w:val="0"/>
      <w:marRight w:val="0"/>
      <w:marTop w:val="0"/>
      <w:marBottom w:val="0"/>
      <w:divBdr>
        <w:top w:val="none" w:sz="0" w:space="0" w:color="auto"/>
        <w:left w:val="none" w:sz="0" w:space="0" w:color="auto"/>
        <w:bottom w:val="none" w:sz="0" w:space="0" w:color="auto"/>
        <w:right w:val="none" w:sz="0" w:space="0" w:color="auto"/>
      </w:divBdr>
    </w:div>
    <w:div w:id="1898516850">
      <w:bodyDiv w:val="1"/>
      <w:marLeft w:val="0"/>
      <w:marRight w:val="0"/>
      <w:marTop w:val="0"/>
      <w:marBottom w:val="0"/>
      <w:divBdr>
        <w:top w:val="none" w:sz="0" w:space="0" w:color="auto"/>
        <w:left w:val="none" w:sz="0" w:space="0" w:color="auto"/>
        <w:bottom w:val="none" w:sz="0" w:space="0" w:color="auto"/>
        <w:right w:val="none" w:sz="0" w:space="0" w:color="auto"/>
      </w:divBdr>
    </w:div>
    <w:div w:id="191253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42BFE-D3FB-446E-BBB9-C5BC0D790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1235</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Arras</dc:creator>
  <cp:keywords/>
  <dc:description/>
  <cp:lastModifiedBy>Paavo Kirsi</cp:lastModifiedBy>
  <cp:revision>2</cp:revision>
  <dcterms:created xsi:type="dcterms:W3CDTF">2025-09-24T11:03:00Z</dcterms:created>
  <dcterms:modified xsi:type="dcterms:W3CDTF">2025-09-24T11:03:00Z</dcterms:modified>
</cp:coreProperties>
</file>